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i/>
          <w:iCs/>
          <w:color w:val="000000"/>
        </w:rPr>
      </w:pPr>
      <w:r>
        <w:rPr>
          <w:i/>
          <w:iCs/>
          <w:color w:val="000000"/>
        </w:rPr>
        <w:t>Circ. n. 4/DF del 14 luglio 2016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i/>
          <w:iCs/>
          <w:color w:val="000000"/>
        </w:rPr>
      </w:pPr>
      <w:r>
        <w:rPr>
          <w:i/>
          <w:iCs/>
          <w:color w:val="000000"/>
        </w:rPr>
        <w:t xml:space="preserve">Min. economia e finanze - </w:t>
      </w:r>
      <w:proofErr w:type="spellStart"/>
      <w:r>
        <w:rPr>
          <w:i/>
          <w:iCs/>
          <w:color w:val="000000"/>
        </w:rPr>
        <w:t>Dip</w:t>
      </w:r>
      <w:proofErr w:type="spellEnd"/>
      <w:r>
        <w:rPr>
          <w:i/>
          <w:iCs/>
          <w:color w:val="000000"/>
        </w:rPr>
        <w:t>. finanze  -  Dir.  legislazione  tributaria  e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i/>
          <w:iCs/>
          <w:color w:val="000000"/>
        </w:rPr>
      </w:pPr>
      <w:r>
        <w:rPr>
          <w:i/>
          <w:iCs/>
          <w:color w:val="000000"/>
        </w:rPr>
        <w:t>federalismo fiscale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i/>
          <w:iCs/>
          <w:color w:val="000000"/>
        </w:rPr>
      </w:pPr>
      <w:r>
        <w:rPr>
          <w:i/>
          <w:iCs/>
          <w:color w:val="000000"/>
        </w:rPr>
        <w:t xml:space="preserve">Imposta municipale propria (IMU) – </w:t>
      </w:r>
      <w:hyperlink r:id="rId4" w:history="1">
        <w:r>
          <w:rPr>
            <w:rStyle w:val="Collegamentoipertestuale"/>
            <w:i/>
            <w:iCs/>
          </w:rPr>
          <w:t>Art. 7</w:t>
        </w:r>
      </w:hyperlink>
      <w:r>
        <w:rPr>
          <w:i/>
          <w:iCs/>
          <w:color w:val="000000"/>
        </w:rPr>
        <w:t xml:space="preserve">, comma 1, lett. h), del D. </w:t>
      </w:r>
      <w:proofErr w:type="spellStart"/>
      <w:r>
        <w:rPr>
          <w:i/>
          <w:iCs/>
          <w:color w:val="000000"/>
        </w:rPr>
        <w:t>Lgs</w:t>
      </w:r>
      <w:proofErr w:type="spellEnd"/>
      <w:r>
        <w:rPr>
          <w:i/>
          <w:iCs/>
          <w:color w:val="000000"/>
        </w:rPr>
        <w:t>. 30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i/>
          <w:iCs/>
          <w:color w:val="000000"/>
        </w:rPr>
      </w:pPr>
      <w:r>
        <w:rPr>
          <w:i/>
          <w:iCs/>
          <w:color w:val="000000"/>
        </w:rPr>
        <w:t>dicembre 1992, n. 504 – Art. 1, comma 13, della legge di  stabilità  2016  –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i/>
          <w:iCs/>
          <w:color w:val="000000"/>
        </w:rPr>
      </w:pPr>
      <w:r>
        <w:rPr>
          <w:i/>
          <w:iCs/>
          <w:color w:val="000000"/>
        </w:rPr>
        <w:t xml:space="preserve">Esenzione terreni agricoli – </w:t>
      </w:r>
      <w:hyperlink r:id="rId5" w:history="1">
        <w:r>
          <w:rPr>
            <w:rStyle w:val="Collegamentoipertestuale"/>
            <w:i/>
            <w:iCs/>
          </w:rPr>
          <w:t>Circolare n. 9 del 14 giugno 1993</w:t>
        </w:r>
      </w:hyperlink>
      <w:r>
        <w:rPr>
          <w:i/>
          <w:iCs/>
          <w:color w:val="000000"/>
        </w:rPr>
        <w:t xml:space="preserve"> – Fusione  di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i/>
          <w:iCs/>
          <w:color w:val="000000"/>
        </w:rPr>
      </w:pPr>
      <w:r>
        <w:rPr>
          <w:i/>
          <w:iCs/>
          <w:color w:val="000000"/>
        </w:rPr>
        <w:t>comuni – Errata classificazione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 xml:space="preserve">    Con riferimento alla disciplina dell’esenzione  dall'imposta  municipale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propria (IMU) per i terreni agricoli, sono stati  avanzati  diversi  quesiti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che riguardano l’applicazione di tale  beneficio  soprattutto  nel  caso  di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fusione, anche per incorporazione, di comuni.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 xml:space="preserve">    Ai fini  della  risoluzione  degli  stessi,  è  fondamentale  riportare,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 xml:space="preserve">innanzitutto, le norme che regolano il regime </w:t>
      </w:r>
      <w:proofErr w:type="spellStart"/>
      <w:r>
        <w:rPr>
          <w:color w:val="000000"/>
        </w:rPr>
        <w:t>agevolativo</w:t>
      </w:r>
      <w:proofErr w:type="spellEnd"/>
      <w:r>
        <w:rPr>
          <w:color w:val="000000"/>
        </w:rPr>
        <w:t xml:space="preserve"> in argomento.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 xml:space="preserve">    </w:t>
      </w:r>
      <w:r>
        <w:rPr>
          <w:b/>
          <w:bCs/>
          <w:color w:val="000000"/>
        </w:rPr>
        <w:t>1. Quadro normativo di riferimento e prassi applicativa.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 xml:space="preserve">    L’</w:t>
      </w:r>
      <w:hyperlink r:id="rId6" w:history="1">
        <w:r>
          <w:rPr>
            <w:rStyle w:val="Collegamentoipertestuale"/>
          </w:rPr>
          <w:t>art. 1, comma 13</w:t>
        </w:r>
      </w:hyperlink>
      <w:r>
        <w:rPr>
          <w:color w:val="000000"/>
        </w:rPr>
        <w:t xml:space="preserve"> della legge  28  dicembre  2015,  n.  208  (Legge  di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stabilità  2016)  dispone  che  “A  decorrere  dall'anno  2016,  l'esenzione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dall'imposta municipale propria (IMU) prevista dalla lettera h) del comma  1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dell'</w:t>
      </w:r>
      <w:hyperlink r:id="rId7" w:history="1">
        <w:r>
          <w:rPr>
            <w:rStyle w:val="Collegamentoipertestuale"/>
          </w:rPr>
          <w:t>articolo 7</w:t>
        </w:r>
      </w:hyperlink>
      <w:r>
        <w:rPr>
          <w:color w:val="000000"/>
        </w:rPr>
        <w:t xml:space="preserve"> del decreto legislativo 30 dicembre 1992, n. 504, si applica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sulla base dei criteri  individuati  dalla  circolare  del  Ministero  delle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 xml:space="preserve">finanze </w:t>
      </w:r>
      <w:hyperlink r:id="rId8" w:history="1">
        <w:r>
          <w:rPr>
            <w:rStyle w:val="Collegamentoipertestuale"/>
          </w:rPr>
          <w:t>n. 9</w:t>
        </w:r>
      </w:hyperlink>
      <w:r>
        <w:rPr>
          <w:color w:val="000000"/>
        </w:rPr>
        <w:t xml:space="preserve"> del 14 giugno 1993, pubblicata nel supplemento ordinario n.  53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alla Gazzetta Ufficiale n. 141 del 18 giugno  1993.  Sono,  altresì,  esenti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dall'IMU i terreni agricoli: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 xml:space="preserve">    a) posseduti e condotti dai coltivatori  diretti  e  dagli  imprenditori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agricoli professionali di cui all'</w:t>
      </w:r>
      <w:hyperlink r:id="rId9" w:history="1">
        <w:r>
          <w:rPr>
            <w:rStyle w:val="Collegamentoipertestuale"/>
          </w:rPr>
          <w:t>articolo  1</w:t>
        </w:r>
      </w:hyperlink>
      <w:r>
        <w:rPr>
          <w:color w:val="000000"/>
        </w:rPr>
        <w:t xml:space="preserve">  del  decreto  legislativo  29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marzo 2004, n. 99, iscritti  nella  previdenza  agricola,  indipendentemente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dalla loro ubicazione;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i/>
          <w:iCs/>
          <w:color w:val="000000"/>
        </w:rPr>
      </w:pPr>
      <w:r>
        <w:rPr>
          <w:color w:val="000000"/>
        </w:rPr>
        <w:t xml:space="preserve">    </w:t>
      </w:r>
      <w:r>
        <w:rPr>
          <w:i/>
          <w:iCs/>
          <w:color w:val="000000"/>
        </w:rPr>
        <w:t>b) ubicati nei comuni delle isole minori di cui all'allegato  A  annesso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i/>
          <w:iCs/>
          <w:color w:val="000000"/>
        </w:rPr>
        <w:t>alla legge 28 dicembre 2001, n. 448;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i/>
          <w:iCs/>
          <w:color w:val="000000"/>
        </w:rPr>
      </w:pPr>
      <w:r>
        <w:rPr>
          <w:color w:val="000000"/>
        </w:rPr>
        <w:t xml:space="preserve">    </w:t>
      </w:r>
      <w:r>
        <w:rPr>
          <w:i/>
          <w:iCs/>
          <w:color w:val="000000"/>
        </w:rPr>
        <w:t xml:space="preserve">c) a immutabile destinazione </w:t>
      </w:r>
      <w:proofErr w:type="spellStart"/>
      <w:r>
        <w:rPr>
          <w:i/>
          <w:iCs/>
          <w:color w:val="000000"/>
        </w:rPr>
        <w:t>agrosilvo-pastorale</w:t>
      </w:r>
      <w:proofErr w:type="spellEnd"/>
      <w:r>
        <w:rPr>
          <w:i/>
          <w:iCs/>
          <w:color w:val="000000"/>
        </w:rPr>
        <w:t xml:space="preserve"> a proprietà  collettiva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i/>
          <w:iCs/>
          <w:color w:val="000000"/>
        </w:rPr>
      </w:pPr>
      <w:r>
        <w:rPr>
          <w:i/>
          <w:iCs/>
          <w:color w:val="000000"/>
        </w:rPr>
        <w:t xml:space="preserve">indivisibile e </w:t>
      </w:r>
      <w:proofErr w:type="spellStart"/>
      <w:r>
        <w:rPr>
          <w:i/>
          <w:iCs/>
          <w:color w:val="000000"/>
        </w:rPr>
        <w:t>inusucapibile</w:t>
      </w:r>
      <w:proofErr w:type="spellEnd"/>
      <w:r>
        <w:rPr>
          <w:i/>
          <w:iCs/>
          <w:color w:val="000000"/>
        </w:rPr>
        <w:t>. A decorrere dall'anno 2016,  sono  abrogati  i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i/>
          <w:iCs/>
          <w:color w:val="000000"/>
        </w:rPr>
      </w:pPr>
      <w:r>
        <w:rPr>
          <w:i/>
          <w:iCs/>
          <w:color w:val="000000"/>
        </w:rPr>
        <w:t>commi da 1 a 9-bis dell'</w:t>
      </w:r>
      <w:hyperlink r:id="rId10" w:history="1">
        <w:r>
          <w:rPr>
            <w:rStyle w:val="Collegamentoipertestuale"/>
            <w:i/>
            <w:iCs/>
          </w:rPr>
          <w:t>articolo 1</w:t>
        </w:r>
      </w:hyperlink>
      <w:r>
        <w:rPr>
          <w:color w:val="000000"/>
        </w:rPr>
        <w:t xml:space="preserve"> </w:t>
      </w:r>
      <w:r>
        <w:rPr>
          <w:i/>
          <w:iCs/>
          <w:color w:val="000000"/>
        </w:rPr>
        <w:t>del decreto-legge 24 gennaio 2015, n.  4,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i/>
          <w:iCs/>
          <w:color w:val="000000"/>
        </w:rPr>
        <w:t>convertito, con modificazioni, dalla legge 24 marzo 2015, n. 34”</w:t>
      </w:r>
      <w:r>
        <w:rPr>
          <w:color w:val="000000"/>
        </w:rPr>
        <w:t>.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 xml:space="preserve">    L’</w:t>
      </w:r>
      <w:hyperlink r:id="rId11" w:history="1">
        <w:r>
          <w:rPr>
            <w:rStyle w:val="Collegamentoipertestuale"/>
          </w:rPr>
          <w:t>art. 7</w:t>
        </w:r>
      </w:hyperlink>
      <w:r>
        <w:rPr>
          <w:color w:val="000000"/>
        </w:rPr>
        <w:t xml:space="preserve">, comma 1, lett. h) del D. </w:t>
      </w:r>
      <w:proofErr w:type="spellStart"/>
      <w:r>
        <w:rPr>
          <w:color w:val="000000"/>
        </w:rPr>
        <w:t>Lgs</w:t>
      </w:r>
      <w:proofErr w:type="spellEnd"/>
      <w:r>
        <w:rPr>
          <w:color w:val="000000"/>
        </w:rPr>
        <w:t>.  n.  504  del  1992,  richiamato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dalla disposizione precedente, a sua volta, prevede che sono esenti dall’IMU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i/>
          <w:iCs/>
          <w:color w:val="000000"/>
        </w:rPr>
      </w:pPr>
      <w:r>
        <w:rPr>
          <w:i/>
          <w:iCs/>
          <w:color w:val="000000"/>
        </w:rPr>
        <w:t>“i terreni agricoli ricadenti in aree montane o  di  collina  delimitate  ai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i/>
          <w:iCs/>
          <w:color w:val="000000"/>
        </w:rPr>
        <w:t>sensi dell'</w:t>
      </w:r>
      <w:hyperlink r:id="rId12" w:history="1">
        <w:r>
          <w:rPr>
            <w:rStyle w:val="Collegamentoipertestuale"/>
            <w:i/>
            <w:iCs/>
          </w:rPr>
          <w:t>articolo 15</w:t>
        </w:r>
      </w:hyperlink>
      <w:r>
        <w:rPr>
          <w:color w:val="000000"/>
        </w:rPr>
        <w:t xml:space="preserve"> </w:t>
      </w:r>
      <w:r>
        <w:rPr>
          <w:i/>
          <w:iCs/>
          <w:color w:val="000000"/>
        </w:rPr>
        <w:t>della legge 27 dicembre 1977, n. 984”.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 xml:space="preserve">    Dal  combinato  disposto  delle  norme  in  esame,  e  con   particolare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 xml:space="preserve">riferimento al primo periodo del comma 13 del citato </w:t>
      </w:r>
      <w:hyperlink r:id="rId13" w:history="1">
        <w:r>
          <w:rPr>
            <w:rStyle w:val="Collegamentoipertestuale"/>
          </w:rPr>
          <w:t>art. 1</w:t>
        </w:r>
      </w:hyperlink>
      <w:r>
        <w:rPr>
          <w:color w:val="000000"/>
        </w:rPr>
        <w:t xml:space="preserve"> della  legge  n.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208 del 2015, si evince che le misure di favore introdotte  dalla  legge  di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stabilità 2016 per i terreni agricoli hanno  esplicitamente  ripristinato  i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criteri contenuti nella circolare n. 9 del 1993.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 xml:space="preserve">    Tale intervento normativo con  l’espresso  richiamo  alla  circolare  in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questione ha, quindi, dato veste normativa alle regole per  l’individuazione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dei terreni agricoli che possono godere dell’esenzione  dall’IMU,  impedendo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così la possibilità di fare riferimento  per  l’agevolazione  in  parola  ad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altri     elenchi,     come     quello     rintracciabile      all’indirizzo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www.istat.it/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>/archivio/156224,   che   valeva   nel   precedente    regime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proofErr w:type="spellStart"/>
      <w:r>
        <w:rPr>
          <w:color w:val="000000"/>
        </w:rPr>
        <w:t>agevolativo</w:t>
      </w:r>
      <w:proofErr w:type="spellEnd"/>
      <w:r>
        <w:rPr>
          <w:color w:val="000000"/>
        </w:rPr>
        <w:t xml:space="preserve"> </w:t>
      </w:r>
      <w:bookmarkStart w:id="0" w:name="ref-533643-1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"http://home.ilfisco.it/perl/fol.pl?cmd-print=doc-533643&amp;aux-referrer=fol.pl%3Flog-ckey%3D%252414040352%3Bcmd-doc%3Dqry-18752100-4effd6500ae7a99881bd885aa97fadf7-x-74221&amp;aux-flags=0&amp;aux-flags=2&amp;aux-flags=4" \l "note-533643-1" </w:instrText>
      </w:r>
      <w:r>
        <w:rPr>
          <w:color w:val="000000"/>
        </w:rPr>
        <w:fldChar w:fldCharType="separate"/>
      </w:r>
      <w:r>
        <w:rPr>
          <w:rStyle w:val="Collegamentoipertestuale"/>
        </w:rPr>
        <w:t>(1)</w:t>
      </w:r>
      <w:r>
        <w:rPr>
          <w:color w:val="000000"/>
        </w:rPr>
        <w:fldChar w:fldCharType="end"/>
      </w:r>
      <w:bookmarkEnd w:id="0"/>
      <w:r>
        <w:rPr>
          <w:color w:val="000000"/>
        </w:rPr>
        <w:t>, o di procedere a un aggiornamento dei comuni ivi contenuti.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 xml:space="preserve">    A questo proposito, si deve evidenziare che  nell’elenco  allegato  alla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lastRenderedPageBreak/>
        <w:t>circolare n. 9 del 1993 sono indicati i comuni, suddivisi per  Provincia  di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appartenenza, sul cui territorio i terreni agricoli ora sono esenti dall'IMU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 xml:space="preserve">ai sensi del menzionato </w:t>
      </w:r>
      <w:hyperlink r:id="rId14" w:history="1">
        <w:r>
          <w:rPr>
            <w:rStyle w:val="Collegamentoipertestuale"/>
          </w:rPr>
          <w:t>art. 7</w:t>
        </w:r>
      </w:hyperlink>
      <w:r>
        <w:rPr>
          <w:color w:val="000000"/>
        </w:rPr>
        <w:t xml:space="preserve">, comma 1, lett. h), del D. </w:t>
      </w:r>
      <w:proofErr w:type="spellStart"/>
      <w:r>
        <w:rPr>
          <w:color w:val="000000"/>
        </w:rPr>
        <w:t>Lgs</w:t>
      </w:r>
      <w:proofErr w:type="spellEnd"/>
      <w:r>
        <w:rPr>
          <w:color w:val="000000"/>
        </w:rPr>
        <w:t>.  n.  504  del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i/>
          <w:iCs/>
          <w:color w:val="000000"/>
        </w:rPr>
      </w:pPr>
      <w:r>
        <w:rPr>
          <w:color w:val="000000"/>
        </w:rPr>
        <w:t xml:space="preserve">1992. Nel documento di prassi amministrativa è  altresì  precisato  che  </w:t>
      </w:r>
      <w:r>
        <w:rPr>
          <w:i/>
          <w:iCs/>
          <w:color w:val="000000"/>
        </w:rPr>
        <w:t>“se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i/>
          <w:iCs/>
          <w:color w:val="000000"/>
        </w:rPr>
      </w:pPr>
      <w:r>
        <w:rPr>
          <w:i/>
          <w:iCs/>
          <w:color w:val="000000"/>
        </w:rPr>
        <w:t>accanto all'indicazione del  comune  non  è  riportata  alcuna  annotazione,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i/>
          <w:iCs/>
          <w:color w:val="000000"/>
        </w:rPr>
      </w:pPr>
      <w:r>
        <w:rPr>
          <w:i/>
          <w:iCs/>
          <w:color w:val="000000"/>
        </w:rPr>
        <w:t>significa che l'esenzione opera sull'intero territorio comunale. Se, invece,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i/>
          <w:iCs/>
          <w:color w:val="000000"/>
        </w:rPr>
      </w:pPr>
      <w:r>
        <w:rPr>
          <w:i/>
          <w:iCs/>
          <w:color w:val="000000"/>
        </w:rPr>
        <w:t>è riportata l'annotazione parzialmente delimitato, sintetizzata con la sigla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i/>
          <w:iCs/>
          <w:color w:val="000000"/>
        </w:rPr>
      </w:pPr>
      <w:r>
        <w:rPr>
          <w:i/>
          <w:iCs/>
          <w:color w:val="000000"/>
        </w:rPr>
        <w:t>"PD', significa  che  l'esenzione  opera  limitatamente  ad  una  parte  del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i/>
          <w:iCs/>
          <w:color w:val="000000"/>
        </w:rPr>
      </w:pPr>
      <w:r>
        <w:rPr>
          <w:i/>
          <w:iCs/>
          <w:color w:val="000000"/>
        </w:rPr>
        <w:t>territorio  comunale;  all'uopo,  per  l'esatta  individuazione  delle  zone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i/>
          <w:iCs/>
          <w:color w:val="000000"/>
        </w:rPr>
      </w:pPr>
      <w:r>
        <w:rPr>
          <w:i/>
          <w:iCs/>
          <w:color w:val="000000"/>
        </w:rPr>
        <w:t>agevolate occorre rivolgersi agli uffici  regionali  competenti  ...  Per  i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i/>
          <w:iCs/>
          <w:color w:val="000000"/>
        </w:rPr>
      </w:pPr>
      <w:r>
        <w:rPr>
          <w:i/>
          <w:iCs/>
          <w:color w:val="000000"/>
        </w:rPr>
        <w:t>comuni compresi nei territori delle Province autonome di Trento e Bolzano  e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i/>
          <w:iCs/>
          <w:color w:val="000000"/>
        </w:rPr>
      </w:pPr>
      <w:r>
        <w:rPr>
          <w:i/>
          <w:iCs/>
          <w:color w:val="000000"/>
        </w:rPr>
        <w:t>della Regione Friuli-Venezia Giulia sono  fatte  salve  eventuali  leggi  di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i/>
          <w:iCs/>
          <w:color w:val="000000"/>
        </w:rPr>
      </w:pPr>
      <w:r>
        <w:rPr>
          <w:i/>
          <w:iCs/>
          <w:color w:val="000000"/>
        </w:rPr>
        <w:t>dette Province o Regione che delimitino le zone agricole in modo diverso  da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i/>
          <w:iCs/>
          <w:color w:val="000000"/>
        </w:rPr>
        <w:t>quello risultante dall'allegato elenco”</w:t>
      </w:r>
      <w:r>
        <w:rPr>
          <w:color w:val="000000"/>
        </w:rPr>
        <w:t>.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 xml:space="preserve">    Pertanto,  per  risolvere  le  problematiche   riportate   nei   quesiti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 xml:space="preserve">pervenuti, occorre fare esclusivo riferimento alla </w:t>
      </w:r>
      <w:hyperlink r:id="rId15" w:history="1">
        <w:r>
          <w:rPr>
            <w:rStyle w:val="Collegamentoipertestuale"/>
          </w:rPr>
          <w:t>circolare n. 9 del  1993</w:t>
        </w:r>
      </w:hyperlink>
      <w:r>
        <w:rPr>
          <w:color w:val="000000"/>
        </w:rPr>
        <w:t>,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tenuto conto della circostanza che la  stessa  è  diretta  a  individuare  i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terreni esenti dall’imposta.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 xml:space="preserve">    </w:t>
      </w:r>
      <w:r>
        <w:rPr>
          <w:b/>
          <w:bCs/>
          <w:color w:val="000000"/>
        </w:rPr>
        <w:t>2. Fusione, anche per incorporazione, di comuni.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 xml:space="preserve">    In questa  sede,  ai  fini  dell’applicazione  dell’esenzione  dall’IMU,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occorre focalizzare l’attenzione sulle due forme di fusione  di  comuni  che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caratterizzano il processo di riorganizzazione del territorio. In proposito,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si deve distinguere la fusione tradizionale, di cui all’</w:t>
      </w:r>
      <w:hyperlink r:id="rId16" w:history="1">
        <w:r>
          <w:rPr>
            <w:rStyle w:val="Collegamentoipertestuale"/>
          </w:rPr>
          <w:t>art.  15</w:t>
        </w:r>
      </w:hyperlink>
      <w:r>
        <w:rPr>
          <w:color w:val="000000"/>
        </w:rPr>
        <w:t xml:space="preserve">  del  Testo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 xml:space="preserve">unico sugli enti locali, approvato con  D.  </w:t>
      </w:r>
      <w:proofErr w:type="spellStart"/>
      <w:r>
        <w:rPr>
          <w:color w:val="000000"/>
        </w:rPr>
        <w:t>Lgs</w:t>
      </w:r>
      <w:proofErr w:type="spellEnd"/>
      <w:r>
        <w:rPr>
          <w:color w:val="000000"/>
        </w:rPr>
        <w:t>.  18  agosto  2000,  n.  267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(TUEL), così come modificato dal comma 117 dell’</w:t>
      </w:r>
      <w:hyperlink r:id="rId17" w:history="1">
        <w:r>
          <w:rPr>
            <w:rStyle w:val="Collegamentoipertestuale"/>
          </w:rPr>
          <w:t>art. 1</w:t>
        </w:r>
      </w:hyperlink>
      <w:r>
        <w:rPr>
          <w:color w:val="000000"/>
        </w:rPr>
        <w:t xml:space="preserve"> della legge 7  aprile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2014,  n.  56,  dalla  fusione  per  incorporazione  di  cui  al  comma  130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dell’</w:t>
      </w:r>
      <w:hyperlink r:id="rId18" w:history="1">
        <w:r>
          <w:rPr>
            <w:rStyle w:val="Collegamentoipertestuale"/>
          </w:rPr>
          <w:t>art. 1</w:t>
        </w:r>
      </w:hyperlink>
      <w:r>
        <w:rPr>
          <w:color w:val="000000"/>
        </w:rPr>
        <w:t xml:space="preserve"> della stessa legge n. 56 del  2014.  Si  ricorda  che  la  prima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produce  l’estinzione  giuridica  dei  comuni   interessati   dal   processo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aggregativo  e  la  costituzione  di  un  nuovo  comune;  la   fusione   per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incorporazione  comporta  invece  la   continuità   giuridica   del   comune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incorporante, benché la legge preveda la  possibilità  di  una  sua  diversa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denominazione e la contestuale soppressione di uno o più comuni incorporati.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 xml:space="preserve">    Pertanto, ai fini dell’applicazione dell’esenzione in  oggetto,  occorre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prendere in considerazione l’ubicazione dei terreni per verificare se questi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rientrano o meno nelle porzioni di territorio delimitate secondo i  principi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contenuti nella circolare n. 9 del 1993, indipendentemente dalla circostanza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che  i  comuni  originari  si  siano  fusi  in  un  comune  anche  di  nuova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denominazione e quindi non presente nella  circolare.  Sulla  base  di  tali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considerazioni si ritiene che in caso di fusione di: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 xml:space="preserve">    - due comuni totalmente esenti, i terreni ubicati nel nuovo comune  sono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totalmente esenti;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 xml:space="preserve">    - un comune esente con uno non esente in quanto non incluso  nell'elenco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allegato alla circolare n. 9 del 1993, beneficiano dell’agevolazione solo  i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terreni che erano ubicati nel  territorio  del  comune  esente  prima  della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fusione;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 xml:space="preserve">    - un comune esente con uno parzialmente esente, godono dell’esenzione ai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fini IMU solo i terreni ubicati nel territorio  del  comune  precedentemente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esente e quelli che risultavano esenti nel comune che  prima  della  fusione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lastRenderedPageBreak/>
        <w:t>era parzialmente delimitato;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 xml:space="preserve">    - due comuni parzialmente esenti, i terreni per i quali  si  ha  diritto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all’esenzione sono solo quelli che rientravano nei  territori  a  tale  fine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delimitati dei comuni che hanno dato origine al nuovo comune.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 xml:space="preserve">    </w:t>
      </w:r>
      <w:r>
        <w:rPr>
          <w:b/>
          <w:bCs/>
          <w:color w:val="000000"/>
        </w:rPr>
        <w:t>3. Errata classificazione di un comune nella circolare n. 9 del 1993.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 xml:space="preserve">    E’ stato rappresentato il caso del comune di </w:t>
      </w:r>
      <w:proofErr w:type="spellStart"/>
      <w:r>
        <w:rPr>
          <w:color w:val="000000"/>
        </w:rPr>
        <w:t>Valsamoggia</w:t>
      </w:r>
      <w:proofErr w:type="spellEnd"/>
      <w:r>
        <w:rPr>
          <w:color w:val="000000"/>
        </w:rPr>
        <w:t>,  costituito  a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seguito della fusione di tipo tradizionale di  cinque  preesistenti  comuni,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 xml:space="preserve">quali </w:t>
      </w:r>
      <w:proofErr w:type="spellStart"/>
      <w:r>
        <w:rPr>
          <w:color w:val="000000"/>
        </w:rPr>
        <w:t>Savigno</w:t>
      </w:r>
      <w:proofErr w:type="spellEnd"/>
      <w:r>
        <w:rPr>
          <w:color w:val="000000"/>
        </w:rPr>
        <w:t xml:space="preserve">, Castello di </w:t>
      </w:r>
      <w:proofErr w:type="spellStart"/>
      <w:r>
        <w:rPr>
          <w:color w:val="000000"/>
        </w:rPr>
        <w:t>Serravalle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Crespellano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Bazzano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Monteveglio</w:t>
      </w:r>
      <w:proofErr w:type="spellEnd"/>
      <w:r>
        <w:rPr>
          <w:color w:val="000000"/>
        </w:rPr>
        <w:t>.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 xml:space="preserve">    In ordine a quest’ultimo comune, nel quesito è stato precisato che nella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hyperlink r:id="rId19" w:history="1">
        <w:r>
          <w:rPr>
            <w:rStyle w:val="Collegamentoipertestuale"/>
          </w:rPr>
          <w:t>circolare n. 9  del  1993</w:t>
        </w:r>
      </w:hyperlink>
      <w:r>
        <w:rPr>
          <w:color w:val="000000"/>
        </w:rPr>
        <w:t xml:space="preserve">  risulta  indicata,  per  mero  errore  materiale,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l’annotazione  PD,  mentre  in  realtà  l’intero  ambito  territoriale   del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 xml:space="preserve">preesistente comune di </w:t>
      </w:r>
      <w:proofErr w:type="spellStart"/>
      <w:r>
        <w:rPr>
          <w:color w:val="000000"/>
        </w:rPr>
        <w:t>Monteveglio</w:t>
      </w:r>
      <w:proofErr w:type="spellEnd"/>
      <w:r>
        <w:rPr>
          <w:color w:val="000000"/>
        </w:rPr>
        <w:t xml:space="preserve">  era  totalmente  delimitato  e,  quindi,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esente. Infatti, la parte non delimitata ai sensi  del  previgente  art.  14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della legge n. 991 del 1952 – poi modificato dalla legge n. 142 del 1990 – e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del successivo art. 15, risulta comunque  interamente  delimitata  in  virtù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dell’</w:t>
      </w:r>
      <w:hyperlink r:id="rId20" w:history="1">
        <w:r>
          <w:rPr>
            <w:rStyle w:val="Collegamentoipertestuale"/>
          </w:rPr>
          <w:t>art. 15</w:t>
        </w:r>
      </w:hyperlink>
      <w:r>
        <w:rPr>
          <w:color w:val="000000"/>
        </w:rPr>
        <w:t xml:space="preserve"> della legge n. 984 del 1977, cui rinvia il citato </w:t>
      </w:r>
      <w:hyperlink r:id="rId21" w:history="1">
        <w:r>
          <w:rPr>
            <w:rStyle w:val="Collegamentoipertestuale"/>
          </w:rPr>
          <w:t>art. 7</w:t>
        </w:r>
      </w:hyperlink>
      <w:r>
        <w:rPr>
          <w:color w:val="000000"/>
        </w:rPr>
        <w:t>, comma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 xml:space="preserve">1, lett. h), del D. </w:t>
      </w:r>
      <w:proofErr w:type="spellStart"/>
      <w:r>
        <w:rPr>
          <w:color w:val="000000"/>
        </w:rPr>
        <w:t>Lgs</w:t>
      </w:r>
      <w:proofErr w:type="spellEnd"/>
      <w:r>
        <w:rPr>
          <w:color w:val="000000"/>
        </w:rPr>
        <w:t>. n. 504 del 1992.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 xml:space="preserve">    Nel quesito viene evidenziato che la genesi dell’errore è stata chiarita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solo recentemente dalla Regione, la  quale,  avendo  verificato  l’effettiva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 xml:space="preserve">totale delimitazione del territorio comunale  di  </w:t>
      </w:r>
      <w:proofErr w:type="spellStart"/>
      <w:r>
        <w:rPr>
          <w:color w:val="000000"/>
        </w:rPr>
        <w:t>Monteveglio</w:t>
      </w:r>
      <w:proofErr w:type="spellEnd"/>
      <w:r>
        <w:rPr>
          <w:color w:val="000000"/>
        </w:rPr>
        <w:t>,  ne  ha  dato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comunicazione    all’Amministrazione    comunale    competente    ai    fini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 xml:space="preserve">dell’applicazione dell’esenzione </w:t>
      </w:r>
      <w:bookmarkStart w:id="1" w:name="ref-533643-2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"http://home.ilfisco.it/perl/fol.pl?cmd-print=doc-533643&amp;aux-referrer=fol.pl%3Flog-ckey%3D%252414040352%3Bcmd-doc%3Dqry-18752100-4effd6500ae7a99881bd885aa97fadf7-x-74221&amp;aux-flags=0&amp;aux-flags=2&amp;aux-flags=4" \l "note-533643-2" </w:instrText>
      </w:r>
      <w:r>
        <w:rPr>
          <w:color w:val="000000"/>
        </w:rPr>
        <w:fldChar w:fldCharType="separate"/>
      </w:r>
      <w:r>
        <w:rPr>
          <w:rStyle w:val="Collegamentoipertestuale"/>
        </w:rPr>
        <w:t>(2)</w:t>
      </w:r>
      <w:r>
        <w:rPr>
          <w:color w:val="000000"/>
        </w:rPr>
        <w:fldChar w:fldCharType="end"/>
      </w:r>
      <w:bookmarkEnd w:id="1"/>
      <w:r>
        <w:rPr>
          <w:color w:val="000000"/>
        </w:rPr>
        <w:t>.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 xml:space="preserve">    Nel momento in cui la legge di stabilità 2016  ha,  però,  espressamente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previsto che l’esenzione dall’IMU per i terreni agricoli  si  applica  sulla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base dei criteri della circolare n. 9 del 1993, è stato ritenuto  necessario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richiedere la correzione dell’errore contenuto nell’allegato  alla  medesima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circolare.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 xml:space="preserve">    A tal fine, sono stati inviati una serie di documenti </w:t>
      </w:r>
      <w:bookmarkStart w:id="2" w:name="ref-533643-3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"http://home.ilfisco.it/perl/fol.pl?cmd-print=doc-533643&amp;aux-referrer=fol.pl%3Flog-ckey%3D%252414040352%3Bcmd-doc%3Dqry-18752100-4effd6500ae7a99881bd885aa97fadf7-x-74221&amp;aux-flags=0&amp;aux-flags=2&amp;aux-flags=4" \l "note-533643-3" </w:instrText>
      </w:r>
      <w:r>
        <w:rPr>
          <w:color w:val="000000"/>
        </w:rPr>
        <w:fldChar w:fldCharType="separate"/>
      </w:r>
      <w:r>
        <w:rPr>
          <w:rStyle w:val="Collegamentoipertestuale"/>
        </w:rPr>
        <w:t>(3)</w:t>
      </w:r>
      <w:r>
        <w:rPr>
          <w:color w:val="000000"/>
        </w:rPr>
        <w:fldChar w:fldCharType="end"/>
      </w:r>
      <w:bookmarkEnd w:id="2"/>
      <w:r>
        <w:rPr>
          <w:color w:val="000000"/>
        </w:rPr>
        <w:t xml:space="preserve"> dal cui  esame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emerge l’errore materiale rilevato nel quesito. Infatti, diversamente  dalla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delimitazione presente nella documentazione inviata, nella  circolare  n.  9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 xml:space="preserve">del 1993 il comune di </w:t>
      </w:r>
      <w:proofErr w:type="spellStart"/>
      <w:r>
        <w:rPr>
          <w:color w:val="000000"/>
        </w:rPr>
        <w:t>Monteveglio</w:t>
      </w:r>
      <w:proofErr w:type="spellEnd"/>
      <w:r>
        <w:rPr>
          <w:color w:val="000000"/>
        </w:rPr>
        <w:t xml:space="preserve"> è contrassegnato dall’acronimo PD,  poiché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non è stato tenuto conto dell’aggiornamento  della  situazione  dei  terreni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attuato alla luce delle disposizioni recate dalla legge n. 984  del  1977  a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cui fanno correttamente riferimento le  deliberazioni  del  Consiglio  della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Regione Emilia-Romagna del 5 marzo 1980, n. 2641 e del 17 febbraio 1983,  n.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1667.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 xml:space="preserve">    Pertanto, dovendosi ritenere che l’indicazione  dell’acronimo  PD  nella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hyperlink r:id="rId22" w:history="1">
        <w:r>
          <w:rPr>
            <w:rStyle w:val="Collegamentoipertestuale"/>
          </w:rPr>
          <w:t>circolare n. 9  del  1993</w:t>
        </w:r>
      </w:hyperlink>
      <w:r>
        <w:rPr>
          <w:color w:val="000000"/>
        </w:rPr>
        <w:t xml:space="preserve">  in  corrispondenza  del  preesistente  comune  di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proofErr w:type="spellStart"/>
      <w:r>
        <w:rPr>
          <w:color w:val="000000"/>
        </w:rPr>
        <w:t>Monteveglio</w:t>
      </w:r>
      <w:proofErr w:type="spellEnd"/>
      <w:r>
        <w:rPr>
          <w:color w:val="000000"/>
        </w:rPr>
        <w:t xml:space="preserve">  possa  considerarsi  come   un   mero   errore   materiale   di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trascrizione, si deve concludere che i relativi terreni  ora  facenti  parte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 xml:space="preserve">del territorio del nuovo comune di </w:t>
      </w:r>
      <w:proofErr w:type="spellStart"/>
      <w:r>
        <w:rPr>
          <w:color w:val="000000"/>
        </w:rPr>
        <w:t>Valsamoggia</w:t>
      </w:r>
      <w:proofErr w:type="spellEnd"/>
      <w:r>
        <w:rPr>
          <w:color w:val="000000"/>
        </w:rPr>
        <w:t>, tenendo  conto  dei  criteri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appena  enunciati  nel  paragrafo  2,  continuano  a  godere  dell’esenzione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dall’IMU.</w:t>
      </w:r>
    </w:p>
    <w:p w:rsidR="00055711" w:rsidRDefault="00055711" w:rsidP="00055711">
      <w:r>
        <w:pict>
          <v:rect id="_x0000_i1025" style="width:0;height:1.5pt" o:hralign="center" o:hrstd="t" o:hrnoshade="t" o:hr="t" fillcolor="black" stroked="f"/>
        </w:pict>
      </w:r>
    </w:p>
    <w:p w:rsidR="00055711" w:rsidRDefault="00055711" w:rsidP="00055711">
      <w:pPr>
        <w:shd w:val="clear" w:color="auto" w:fill="FFFFFF"/>
        <w:spacing w:line="215" w:lineRule="atLeast"/>
        <w:rPr>
          <w:rFonts w:ascii="Courier New" w:hAnsi="Courier New" w:cs="Courier New"/>
          <w:color w:val="000000"/>
          <w:sz w:val="17"/>
          <w:szCs w:val="17"/>
        </w:rPr>
      </w:pPr>
      <w:bookmarkStart w:id="3" w:name="note-533643"/>
      <w:bookmarkEnd w:id="3"/>
      <w:r>
        <w:rPr>
          <w:rFonts w:ascii="Courier New" w:hAnsi="Courier New" w:cs="Courier New"/>
          <w:b/>
          <w:bCs/>
          <w:color w:val="000000"/>
          <w:sz w:val="17"/>
          <w:szCs w:val="17"/>
        </w:rPr>
        <w:t>Note: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 xml:space="preserve">    </w:t>
      </w:r>
      <w:bookmarkStart w:id="4" w:name="note-533643-1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"http://home.ilfisco.it/perl/fol.pl?cmd-print=doc-533643&amp;aux-referrer=fol.pl%3Flog-ckey%3D%252414040352%3Bcmd-doc%3Dqry-18752100-4effd6500ae7a99881bd885aa97fadf7-x-74221&amp;aux-flags=0&amp;aux-flags=2&amp;aux-flags=4" \l "ref-533643-1" </w:instrText>
      </w:r>
      <w:r>
        <w:rPr>
          <w:color w:val="000000"/>
        </w:rPr>
        <w:fldChar w:fldCharType="separate"/>
      </w:r>
      <w:r>
        <w:rPr>
          <w:rStyle w:val="Collegamentoipertestuale"/>
        </w:rPr>
        <w:t>(1)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 xml:space="preserve"> Si deve ricordare che il regime di esenzione dall’IMU relativo  alla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fattispecie in esame è stato  oggetto,  nel  corso  degli  anni,  di  alcuni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lastRenderedPageBreak/>
        <w:t>interventi  normativi,  poiché  si   è   partiti   dall’applicazione   della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disposizione contenuta nella lett. h), comma 1, dell’</w:t>
      </w:r>
      <w:hyperlink r:id="rId23" w:history="1">
        <w:r>
          <w:rPr>
            <w:rStyle w:val="Collegamentoipertestuale"/>
          </w:rPr>
          <w:t>art. 7</w:t>
        </w:r>
      </w:hyperlink>
      <w:r>
        <w:rPr>
          <w:color w:val="000000"/>
        </w:rPr>
        <w:t xml:space="preserve"> del D.  </w:t>
      </w:r>
      <w:proofErr w:type="spellStart"/>
      <w:r>
        <w:rPr>
          <w:color w:val="000000"/>
        </w:rPr>
        <w:t>Lgs</w:t>
      </w:r>
      <w:proofErr w:type="spellEnd"/>
      <w:r>
        <w:rPr>
          <w:color w:val="000000"/>
        </w:rPr>
        <w:t>.  n.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504 del 1992 per poi passare alla disciplina del D. M. 28 novembre 2014  che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ha dato attuazione ai nuovi criteri di cui all’</w:t>
      </w:r>
      <w:hyperlink r:id="rId24" w:history="1">
        <w:r>
          <w:rPr>
            <w:rStyle w:val="Collegamentoipertestuale"/>
          </w:rPr>
          <w:t>art. 4</w:t>
        </w:r>
      </w:hyperlink>
      <w:r>
        <w:rPr>
          <w:color w:val="000000"/>
        </w:rPr>
        <w:t>, comma 5</w:t>
      </w:r>
      <w:r>
        <w:rPr>
          <w:i/>
          <w:iCs/>
          <w:color w:val="000000"/>
        </w:rPr>
        <w:t>-bis</w:t>
      </w:r>
      <w:r>
        <w:rPr>
          <w:color w:val="000000"/>
        </w:rPr>
        <w:t>,  del  D.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L. n. 16 del 2012, modificato dal comma 2 dell’</w:t>
      </w:r>
      <w:hyperlink r:id="rId25" w:history="1">
        <w:r>
          <w:rPr>
            <w:rStyle w:val="Collegamentoipertestuale"/>
          </w:rPr>
          <w:t>art. 22</w:t>
        </w:r>
      </w:hyperlink>
      <w:r>
        <w:rPr>
          <w:color w:val="000000"/>
        </w:rPr>
        <w:t xml:space="preserve"> del D. L. n.  66  del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 xml:space="preserve">2014 a cui è succeduto, a sua volta, il diverso regime del D. L.  </w:t>
      </w:r>
      <w:hyperlink r:id="rId26" w:history="1">
        <w:r>
          <w:rPr>
            <w:rStyle w:val="Collegamentoipertestuale"/>
          </w:rPr>
          <w:t>n.  4</w:t>
        </w:r>
      </w:hyperlink>
      <w:r>
        <w:rPr>
          <w:color w:val="000000"/>
        </w:rPr>
        <w:t xml:space="preserve">  del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2015.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 xml:space="preserve">    </w:t>
      </w:r>
      <w:bookmarkStart w:id="5" w:name="note-533643-2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"http://home.ilfisco.it/perl/fol.pl?cmd-print=doc-533643&amp;aux-referrer=fol.pl%3Flog-ckey%3D%252414040352%3Bcmd-doc%3Dqry-18752100-4effd6500ae7a99881bd885aa97fadf7-x-74221&amp;aux-flags=0&amp;aux-flags=2&amp;aux-flags=4" \l "ref-533643-2" </w:instrText>
      </w:r>
      <w:r>
        <w:rPr>
          <w:color w:val="000000"/>
        </w:rPr>
        <w:fldChar w:fldCharType="separate"/>
      </w:r>
      <w:r>
        <w:rPr>
          <w:rStyle w:val="Collegamentoipertestuale"/>
        </w:rPr>
        <w:t>(2)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 La ragione dell’inerzia del comune è da ascrivere  alla  circostanza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che, prima della modifica recata dalla legge di stabilità  2016,  lo  stesso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comune non ha avviato la procedura per ottenere  la  correzione  dell’errore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nella convinzione che comunque la norma di cui alla lett.  h)  del  comma  1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dell'</w:t>
      </w:r>
      <w:hyperlink r:id="rId27" w:history="1">
        <w:r>
          <w:rPr>
            <w:rStyle w:val="Collegamentoipertestuale"/>
          </w:rPr>
          <w:t>art. 7</w:t>
        </w:r>
      </w:hyperlink>
      <w:r>
        <w:rPr>
          <w:color w:val="000000"/>
        </w:rPr>
        <w:t xml:space="preserve"> del D. </w:t>
      </w:r>
      <w:proofErr w:type="spellStart"/>
      <w:r>
        <w:rPr>
          <w:color w:val="000000"/>
        </w:rPr>
        <w:t>Lgs</w:t>
      </w:r>
      <w:proofErr w:type="spellEnd"/>
      <w:r>
        <w:rPr>
          <w:color w:val="000000"/>
        </w:rPr>
        <w:t>. n. 504 del  1992  –  che  riconosce  l’esenzione  ai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terreni agricoli ricadenti in aree montane o di collina delimitate ai  sensi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dell’</w:t>
      </w:r>
      <w:hyperlink r:id="rId28" w:history="1">
        <w:r>
          <w:rPr>
            <w:rStyle w:val="Collegamentoipertestuale"/>
          </w:rPr>
          <w:t>art. 15</w:t>
        </w:r>
      </w:hyperlink>
      <w:r>
        <w:rPr>
          <w:color w:val="000000"/>
        </w:rPr>
        <w:t xml:space="preserve"> della legge n. 984 del  1977  –  prevalesse  sulle  indicazioni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della stessa circolare.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 xml:space="preserve">    </w:t>
      </w:r>
      <w:bookmarkStart w:id="6" w:name="note-533643-3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"http://home.ilfisco.it/perl/fol.pl?cmd-print=doc-533643&amp;aux-referrer=fol.pl%3Flog-ckey%3D%252414040352%3Bcmd-doc%3Dqry-18752100-4effd6500ae7a99881bd885aa97fadf7-x-74221&amp;aux-flags=0&amp;aux-flags=2&amp;aux-flags=4" \l "ref-533643-3" </w:instrText>
      </w:r>
      <w:r>
        <w:rPr>
          <w:color w:val="000000"/>
        </w:rPr>
        <w:fldChar w:fldCharType="separate"/>
      </w:r>
      <w:r>
        <w:rPr>
          <w:rStyle w:val="Collegamentoipertestuale"/>
        </w:rPr>
        <w:t>(3)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 Si tratta: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 xml:space="preserve">    - della delibera del Consiglio della Regione Emilia-Romagna del 5  marzo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i/>
          <w:iCs/>
          <w:color w:val="000000"/>
        </w:rPr>
      </w:pPr>
      <w:r>
        <w:rPr>
          <w:color w:val="000000"/>
        </w:rPr>
        <w:t xml:space="preserve">1980, n. 2641, recante la </w:t>
      </w:r>
      <w:r>
        <w:rPr>
          <w:i/>
          <w:iCs/>
          <w:color w:val="000000"/>
        </w:rPr>
        <w:t>“Delimitazione dei territori montani  e  collinari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i/>
          <w:iCs/>
          <w:color w:val="000000"/>
        </w:rPr>
      </w:pPr>
      <w:r>
        <w:rPr>
          <w:i/>
          <w:iCs/>
          <w:color w:val="000000"/>
        </w:rPr>
        <w:t>ai fini della ripartizione delle disponibilità recate dal capitolo 15180 del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i/>
          <w:iCs/>
          <w:color w:val="000000"/>
        </w:rPr>
      </w:pPr>
      <w:r>
        <w:rPr>
          <w:i/>
          <w:iCs/>
          <w:color w:val="000000"/>
        </w:rPr>
        <w:t>bilancio di previsione per gli anni 1980 e 1981 “Interventi in capitale  per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i/>
          <w:iCs/>
          <w:color w:val="000000"/>
        </w:rPr>
      </w:pPr>
      <w:r>
        <w:rPr>
          <w:i/>
          <w:iCs/>
          <w:color w:val="000000"/>
        </w:rPr>
        <w:t>la realizzazione di infrastrutture e per lo sviluppo delle attività agricole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i/>
          <w:iCs/>
          <w:color w:val="000000"/>
        </w:rPr>
        <w:t>e forestali nei territori di collina e montagna  a  norma  dell'</w:t>
      </w:r>
      <w:hyperlink r:id="rId29" w:history="1">
        <w:r>
          <w:rPr>
            <w:rStyle w:val="Collegamentoipertestuale"/>
            <w:i/>
            <w:iCs/>
          </w:rPr>
          <w:t>articolo  15</w:t>
        </w:r>
      </w:hyperlink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i/>
          <w:iCs/>
          <w:color w:val="000000"/>
        </w:rPr>
        <w:t>della legge 27 dicembre 1977 n. 984,” e riparto delle disponibilità stesse”;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 xml:space="preserve">    - della delibera del  Consiglio  della  Regione  Emilia-Romagna  del  17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i/>
          <w:iCs/>
          <w:color w:val="000000"/>
        </w:rPr>
      </w:pPr>
      <w:r>
        <w:rPr>
          <w:color w:val="000000"/>
        </w:rPr>
        <w:t xml:space="preserve">febbraio 1983, n. 1667, recante </w:t>
      </w:r>
      <w:r>
        <w:rPr>
          <w:i/>
          <w:iCs/>
          <w:color w:val="000000"/>
        </w:rPr>
        <w:t>“Modifica della delimitazione dei  territori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i/>
          <w:iCs/>
          <w:color w:val="000000"/>
        </w:rPr>
      </w:pPr>
      <w:r>
        <w:rPr>
          <w:i/>
          <w:iCs/>
          <w:color w:val="000000"/>
        </w:rPr>
        <w:t>montani e collinari (</w:t>
      </w:r>
      <w:hyperlink r:id="rId30" w:history="1">
        <w:r>
          <w:rPr>
            <w:rStyle w:val="Collegamentoipertestuale"/>
            <w:i/>
            <w:iCs/>
          </w:rPr>
          <w:t>articolo 15</w:t>
        </w:r>
      </w:hyperlink>
      <w:r>
        <w:rPr>
          <w:color w:val="000000"/>
        </w:rPr>
        <w:t xml:space="preserve"> </w:t>
      </w:r>
      <w:r>
        <w:rPr>
          <w:i/>
          <w:iCs/>
          <w:color w:val="000000"/>
        </w:rPr>
        <w:t>della  legge  n.  984/1977)  approvata  dal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i/>
          <w:iCs/>
          <w:color w:val="000000"/>
        </w:rPr>
      </w:pPr>
      <w:r>
        <w:rPr>
          <w:i/>
          <w:iCs/>
          <w:color w:val="000000"/>
        </w:rPr>
        <w:t>consiglio della Regione Emilia-Romagna con deliberazione n. 2641 del 5 marzo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i/>
          <w:iCs/>
          <w:color w:val="000000"/>
        </w:rPr>
        <w:t>1980. (Proposta della Giunta regionale in data 30 novembre 1982, n. 5347)”;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 xml:space="preserve">    - dell’estratto dalla Tavola n. 26 dalla Planimetria alla scala 1:25.000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depositata presso la  Segreteria  della  Giunta  regionale  e  l'Assessorato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Regionale Agricoltura e Alimentazione;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 xml:space="preserve">    - dell’estratto dalla Tavola n. 27 dalla Planimetria alla scala 1:25.000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depositata presso la  Segreteria  della  Giunta  regionale  e  l'Assessorato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Regionale Agricoltura e Alimentazione;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 xml:space="preserve">    - della legenda tavole della Planimetria depositata presso la Segreteria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della   Giunta   regionale   e   l'Assessorato   Regionale   Agricoltura   e</w:t>
      </w:r>
    </w:p>
    <w:p w:rsidR="00055711" w:rsidRDefault="00055711" w:rsidP="00055711">
      <w:pPr>
        <w:pStyle w:val="PreformattatoHTML"/>
        <w:shd w:val="clear" w:color="auto" w:fill="FFFFFF"/>
        <w:spacing w:line="278" w:lineRule="atLeast"/>
        <w:rPr>
          <w:color w:val="000000"/>
        </w:rPr>
      </w:pPr>
      <w:r>
        <w:rPr>
          <w:color w:val="000000"/>
        </w:rPr>
        <w:t>Alimentazione.</w:t>
      </w:r>
    </w:p>
    <w:p w:rsidR="000A7BCA" w:rsidRDefault="000A7BCA"/>
    <w:sectPr w:rsidR="000A7BCA" w:rsidSect="005F7F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C5F92"/>
    <w:rsid w:val="00055711"/>
    <w:rsid w:val="000A7BCA"/>
    <w:rsid w:val="001C5DDC"/>
    <w:rsid w:val="001C5F92"/>
    <w:rsid w:val="005F7FD9"/>
    <w:rsid w:val="0069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7F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1C5F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C5F92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C5F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74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110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55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08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5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1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38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ilfisco.it/perl/fol.pl?log-ckey=%2414040352;cmd-doc=054711" TargetMode="External"/><Relationship Id="rId13" Type="http://schemas.openxmlformats.org/officeDocument/2006/relationships/hyperlink" Target="http://home.ilfisco.it/perl/fol.pl?log-ckey=%2414040352;cmd-doc=505632" TargetMode="External"/><Relationship Id="rId18" Type="http://schemas.openxmlformats.org/officeDocument/2006/relationships/hyperlink" Target="http://home.ilfisco.it/perl/fol.pl?log-ckey=%2414040352;cmd-doc=441592" TargetMode="External"/><Relationship Id="rId26" Type="http://schemas.openxmlformats.org/officeDocument/2006/relationships/hyperlink" Target="http://home.ilfisco.it/perl/fol.pl?log-ckey=%2414040352;cmd-doc=47074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ome.ilfisco.it/perl/fol.pl?log-ckey=%2414040352;cmd-doc=013129" TargetMode="External"/><Relationship Id="rId7" Type="http://schemas.openxmlformats.org/officeDocument/2006/relationships/hyperlink" Target="http://home.ilfisco.it/perl/fol.pl?log-ckey=%2414040352;cmd-doc=013129" TargetMode="External"/><Relationship Id="rId12" Type="http://schemas.openxmlformats.org/officeDocument/2006/relationships/hyperlink" Target="http://home.ilfisco.it/perl/fol.pl?log-ckey=%2414040352;cmd-doc=187704" TargetMode="External"/><Relationship Id="rId17" Type="http://schemas.openxmlformats.org/officeDocument/2006/relationships/hyperlink" Target="http://home.ilfisco.it/perl/fol.pl?log-ckey=%2414040352;cmd-doc=441592" TargetMode="External"/><Relationship Id="rId25" Type="http://schemas.openxmlformats.org/officeDocument/2006/relationships/hyperlink" Target="http://home.ilfisco.it/perl/fol.pl?log-ckey=%2414040352;cmd-doc=44295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ome.ilfisco.it/perl/fol.pl?log-ckey=%2414040352;cmd-doc=176229" TargetMode="External"/><Relationship Id="rId20" Type="http://schemas.openxmlformats.org/officeDocument/2006/relationships/hyperlink" Target="http://home.ilfisco.it/perl/fol.pl?log-ckey=%2414040352;cmd-doc=187704" TargetMode="External"/><Relationship Id="rId29" Type="http://schemas.openxmlformats.org/officeDocument/2006/relationships/hyperlink" Target="http://home.ilfisco.it/perl/fol.pl?log-ckey=%2414040352;cmd-doc=187704" TargetMode="External"/><Relationship Id="rId1" Type="http://schemas.openxmlformats.org/officeDocument/2006/relationships/styles" Target="styles.xml"/><Relationship Id="rId6" Type="http://schemas.openxmlformats.org/officeDocument/2006/relationships/hyperlink" Target="http://home.ilfisco.it/perl/fol.pl?log-ckey=%2414040352;cmd-doc=505638" TargetMode="External"/><Relationship Id="rId11" Type="http://schemas.openxmlformats.org/officeDocument/2006/relationships/hyperlink" Target="http://home.ilfisco.it/perl/fol.pl?log-ckey=%2414040352;cmd-doc=013129" TargetMode="External"/><Relationship Id="rId24" Type="http://schemas.openxmlformats.org/officeDocument/2006/relationships/hyperlink" Target="http://home.ilfisco.it/perl/fol.pl?log-ckey=%2414040352;cmd-doc=370163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home.ilfisco.it/perl/fol.pl?log-ckey=%2414040352;cmd-doc=054711" TargetMode="External"/><Relationship Id="rId15" Type="http://schemas.openxmlformats.org/officeDocument/2006/relationships/hyperlink" Target="http://home.ilfisco.it/perl/fol.pl?log-ckey=%2414040352;cmd-doc=054711" TargetMode="External"/><Relationship Id="rId23" Type="http://schemas.openxmlformats.org/officeDocument/2006/relationships/hyperlink" Target="http://home.ilfisco.it/perl/fol.pl?log-ckey=%2414040352;cmd-doc=013129" TargetMode="External"/><Relationship Id="rId28" Type="http://schemas.openxmlformats.org/officeDocument/2006/relationships/hyperlink" Target="http://home.ilfisco.it/perl/fol.pl?log-ckey=%2414040352;cmd-doc=187704" TargetMode="External"/><Relationship Id="rId10" Type="http://schemas.openxmlformats.org/officeDocument/2006/relationships/hyperlink" Target="http://home.ilfisco.it/perl/fol.pl?log-ckey=%2414040352;cmd-doc=470750" TargetMode="External"/><Relationship Id="rId19" Type="http://schemas.openxmlformats.org/officeDocument/2006/relationships/hyperlink" Target="http://home.ilfisco.it/perl/fol.pl?log-ckey=%2414040352;cmd-doc=054711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home.ilfisco.it/perl/fol.pl?log-ckey=%2414040352;cmd-doc=013129" TargetMode="External"/><Relationship Id="rId9" Type="http://schemas.openxmlformats.org/officeDocument/2006/relationships/hyperlink" Target="http://home.ilfisco.it/perl/fol.pl?log-ckey=%2414040352;cmd-doc=228237" TargetMode="External"/><Relationship Id="rId14" Type="http://schemas.openxmlformats.org/officeDocument/2006/relationships/hyperlink" Target="http://home.ilfisco.it/perl/fol.pl?log-ckey=%2414040352;cmd-doc=013129" TargetMode="External"/><Relationship Id="rId22" Type="http://schemas.openxmlformats.org/officeDocument/2006/relationships/hyperlink" Target="http://home.ilfisco.it/perl/fol.pl?log-ckey=%2414040352;cmd-doc=054711" TargetMode="External"/><Relationship Id="rId27" Type="http://schemas.openxmlformats.org/officeDocument/2006/relationships/hyperlink" Target="http://home.ilfisco.it/perl/fol.pl?log-ckey=%2414040352;cmd-doc=013129" TargetMode="External"/><Relationship Id="rId30" Type="http://schemas.openxmlformats.org/officeDocument/2006/relationships/hyperlink" Target="http://home.ilfisco.it/perl/fol.pl?log-ckey=%2414040352;cmd-doc=18770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2427</Words>
  <Characters>13840</Characters>
  <Application>Microsoft Office Word</Application>
  <DocSecurity>0</DocSecurity>
  <Lines>115</Lines>
  <Paragraphs>32</Paragraphs>
  <ScaleCrop>false</ScaleCrop>
  <Company/>
  <LinksUpToDate>false</LinksUpToDate>
  <CharactersWithSpaces>16235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Studio2</dc:creator>
  <cp:lastModifiedBy>Studio2</cp:lastModifiedBy>
  <cp:revision>3</cp:revision>
  <dcterms:created xsi:type="dcterms:W3CDTF">2016-07-14T07:44:00Z</dcterms:created>
  <dcterms:modified xsi:type="dcterms:W3CDTF">2016-07-15T07:30:00Z</dcterms:modified>
</cp:coreProperties>
</file>